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CA" w:rsidRDefault="00841499" w:rsidP="00841499">
      <w:pPr>
        <w:pStyle w:val="NoSpacing"/>
        <w:rPr>
          <w:sz w:val="24"/>
          <w:szCs w:val="24"/>
        </w:rPr>
      </w:pPr>
      <w:r>
        <w:rPr>
          <w:sz w:val="24"/>
          <w:szCs w:val="24"/>
        </w:rPr>
        <w:t>NCST changes 2015</w:t>
      </w:r>
    </w:p>
    <w:p w:rsidR="00841499" w:rsidRDefault="00841499" w:rsidP="00841499">
      <w:pPr>
        <w:pStyle w:val="NoSpacing"/>
        <w:rPr>
          <w:sz w:val="24"/>
          <w:szCs w:val="24"/>
        </w:rPr>
      </w:pPr>
    </w:p>
    <w:p w:rsidR="00841499" w:rsidRDefault="00841499" w:rsidP="00841499">
      <w:pPr>
        <w:pStyle w:val="Default"/>
      </w:pPr>
    </w:p>
    <w:p w:rsidR="00841499" w:rsidRPr="00841499" w:rsidRDefault="00841499" w:rsidP="00841499">
      <w:pPr>
        <w:pStyle w:val="NoSpacing"/>
        <w:numPr>
          <w:ilvl w:val="0"/>
          <w:numId w:val="1"/>
        </w:numPr>
        <w:rPr>
          <w:sz w:val="24"/>
          <w:szCs w:val="24"/>
        </w:rPr>
      </w:pPr>
      <w:r>
        <w:rPr>
          <w:b/>
          <w:bCs/>
          <w:sz w:val="23"/>
          <w:szCs w:val="23"/>
        </w:rPr>
        <w:t>All buses shall have either a parking pawl in the transmission or a park brake interlock that requires the service brake to be applied to allow release of the parking brake.</w:t>
      </w:r>
    </w:p>
    <w:p w:rsidR="00841499" w:rsidRPr="00841499" w:rsidRDefault="00841499" w:rsidP="00841499">
      <w:pPr>
        <w:pStyle w:val="NoSpacing"/>
        <w:numPr>
          <w:ilvl w:val="0"/>
          <w:numId w:val="1"/>
        </w:numPr>
        <w:rPr>
          <w:sz w:val="24"/>
          <w:szCs w:val="24"/>
        </w:rPr>
      </w:pPr>
      <w:r>
        <w:rPr>
          <w:b/>
          <w:bCs/>
          <w:sz w:val="23"/>
          <w:szCs w:val="23"/>
        </w:rPr>
        <w:t>Buses using hydraulic-assist brakes shall meet requirements of FMVSS 105.</w:t>
      </w:r>
    </w:p>
    <w:p w:rsidR="00841499" w:rsidRPr="00841499" w:rsidRDefault="00841499" w:rsidP="00841499">
      <w:pPr>
        <w:pStyle w:val="NoSpacing"/>
        <w:numPr>
          <w:ilvl w:val="0"/>
          <w:numId w:val="1"/>
        </w:numPr>
        <w:rPr>
          <w:strike/>
          <w:sz w:val="24"/>
          <w:szCs w:val="24"/>
        </w:rPr>
      </w:pPr>
      <w:r w:rsidRPr="00841499">
        <w:rPr>
          <w:strike/>
          <w:sz w:val="23"/>
          <w:szCs w:val="23"/>
        </w:rPr>
        <w:t xml:space="preserve">Air brake-equipped buses may be equipped with a service </w:t>
      </w:r>
      <w:proofErr w:type="spellStart"/>
      <w:r w:rsidRPr="00841499">
        <w:rPr>
          <w:strike/>
          <w:sz w:val="23"/>
          <w:szCs w:val="23"/>
        </w:rPr>
        <w:t>brake</w:t>
      </w:r>
      <w:proofErr w:type="spellEnd"/>
      <w:r w:rsidRPr="00841499">
        <w:rPr>
          <w:strike/>
          <w:sz w:val="23"/>
          <w:szCs w:val="23"/>
        </w:rPr>
        <w:t xml:space="preserve"> interlock. If equipped with a service </w:t>
      </w:r>
      <w:proofErr w:type="spellStart"/>
      <w:r w:rsidRPr="00841499">
        <w:rPr>
          <w:strike/>
          <w:sz w:val="23"/>
          <w:szCs w:val="23"/>
        </w:rPr>
        <w:t>brake</w:t>
      </w:r>
      <w:proofErr w:type="spellEnd"/>
      <w:r w:rsidRPr="00841499">
        <w:rPr>
          <w:strike/>
          <w:sz w:val="23"/>
          <w:szCs w:val="23"/>
        </w:rPr>
        <w:t xml:space="preserve"> interlock, the parking brake cannot be released until the brake pedal is depressed</w:t>
      </w:r>
    </w:p>
    <w:p w:rsidR="00841499" w:rsidRPr="00841499" w:rsidRDefault="00841499" w:rsidP="00841499">
      <w:pPr>
        <w:pStyle w:val="Default"/>
        <w:numPr>
          <w:ilvl w:val="0"/>
          <w:numId w:val="1"/>
        </w:numPr>
        <w:rPr>
          <w:strike/>
          <w:sz w:val="23"/>
          <w:szCs w:val="23"/>
        </w:rPr>
      </w:pPr>
      <w:r w:rsidRPr="00841499">
        <w:rPr>
          <w:strike/>
          <w:sz w:val="23"/>
          <w:szCs w:val="23"/>
        </w:rPr>
        <w:t xml:space="preserve">Clutch torque capacity shall be equal to or greater than the engine torque output. </w:t>
      </w:r>
    </w:p>
    <w:p w:rsidR="00841499" w:rsidRDefault="00841499" w:rsidP="00841499">
      <w:pPr>
        <w:pStyle w:val="NoSpacing"/>
        <w:ind w:left="900"/>
        <w:rPr>
          <w:sz w:val="23"/>
          <w:szCs w:val="23"/>
        </w:rPr>
      </w:pPr>
      <w:r w:rsidRPr="00841499">
        <w:rPr>
          <w:strike/>
          <w:sz w:val="23"/>
          <w:szCs w:val="23"/>
        </w:rPr>
        <w:t xml:space="preserve"> A starter interlock shall be installed to prevent actuation of the starter if the clutch pedal is not depressed</w:t>
      </w:r>
      <w:r>
        <w:rPr>
          <w:sz w:val="23"/>
          <w:szCs w:val="23"/>
        </w:rPr>
        <w:t>.</w:t>
      </w:r>
    </w:p>
    <w:p w:rsidR="00841499" w:rsidRDefault="00841499" w:rsidP="00841499">
      <w:pPr>
        <w:pStyle w:val="Default"/>
        <w:numPr>
          <w:ilvl w:val="0"/>
          <w:numId w:val="1"/>
        </w:numPr>
        <w:rPr>
          <w:sz w:val="23"/>
          <w:szCs w:val="23"/>
        </w:rPr>
      </w:pPr>
      <w:r>
        <w:rPr>
          <w:sz w:val="23"/>
          <w:szCs w:val="23"/>
        </w:rPr>
        <w:t xml:space="preserve">CROSSING CONTROL ARM </w:t>
      </w:r>
    </w:p>
    <w:p w:rsidR="00841499" w:rsidRDefault="00841499" w:rsidP="00841499">
      <w:pPr>
        <w:pStyle w:val="Default"/>
        <w:ind w:left="900"/>
        <w:rPr>
          <w:sz w:val="23"/>
          <w:szCs w:val="23"/>
        </w:rPr>
      </w:pPr>
      <w:proofErr w:type="gramStart"/>
      <w:r>
        <w:rPr>
          <w:sz w:val="23"/>
          <w:szCs w:val="23"/>
        </w:rPr>
        <w:t xml:space="preserve">A. School buses may </w:t>
      </w:r>
      <w:r>
        <w:rPr>
          <w:b/>
          <w:bCs/>
          <w:sz w:val="23"/>
          <w:szCs w:val="23"/>
        </w:rPr>
        <w:t>shall</w:t>
      </w:r>
      <w:proofErr w:type="gramEnd"/>
      <w:r>
        <w:rPr>
          <w:b/>
          <w:bCs/>
          <w:sz w:val="23"/>
          <w:szCs w:val="23"/>
        </w:rPr>
        <w:t xml:space="preserve"> </w:t>
      </w:r>
      <w:r>
        <w:rPr>
          <w:sz w:val="23"/>
          <w:szCs w:val="23"/>
        </w:rPr>
        <w:t xml:space="preserve">be equipped with a crossing control arm mounted on the right side of the front bumper. When opened, this arm shall extend in a line parallel to the body side and aligned with the right front wheel. </w:t>
      </w:r>
    </w:p>
    <w:p w:rsidR="00841499" w:rsidRPr="00841499" w:rsidRDefault="00841499" w:rsidP="00841499">
      <w:pPr>
        <w:pStyle w:val="NoSpacing"/>
        <w:ind w:left="900"/>
        <w:rPr>
          <w:color w:val="FF0000"/>
          <w:sz w:val="23"/>
          <w:szCs w:val="23"/>
        </w:rPr>
      </w:pPr>
      <w:r>
        <w:rPr>
          <w:sz w:val="23"/>
          <w:szCs w:val="23"/>
        </w:rPr>
        <w:t>B. All components of the crossing control arm and all connections shall be weatherproofed.</w:t>
      </w:r>
      <w:r>
        <w:rPr>
          <w:sz w:val="23"/>
          <w:szCs w:val="23"/>
        </w:rPr>
        <w:t xml:space="preserve"> </w:t>
      </w:r>
      <w:r>
        <w:rPr>
          <w:color w:val="FF0000"/>
          <w:sz w:val="23"/>
          <w:szCs w:val="23"/>
        </w:rPr>
        <w:t>FAIL</w:t>
      </w:r>
    </w:p>
    <w:p w:rsidR="00841499" w:rsidRDefault="00841499" w:rsidP="00841499">
      <w:pPr>
        <w:pStyle w:val="Default"/>
        <w:numPr>
          <w:ilvl w:val="0"/>
          <w:numId w:val="1"/>
        </w:numPr>
        <w:rPr>
          <w:sz w:val="23"/>
          <w:szCs w:val="23"/>
        </w:rPr>
      </w:pPr>
      <w:r>
        <w:rPr>
          <w:b/>
          <w:bCs/>
          <w:sz w:val="23"/>
          <w:szCs w:val="23"/>
        </w:rPr>
        <w:t xml:space="preserve">Buses may be equipped with a left side entrance door located immediately behind the driver to be used exclusively for curb side loading/unloading on one-way streets. </w:t>
      </w:r>
    </w:p>
    <w:p w:rsidR="00841499" w:rsidRDefault="00841499" w:rsidP="00841499">
      <w:pPr>
        <w:pStyle w:val="NoSpacing"/>
        <w:ind w:left="900"/>
        <w:rPr>
          <w:b/>
          <w:bCs/>
          <w:sz w:val="23"/>
          <w:szCs w:val="23"/>
        </w:rPr>
      </w:pPr>
      <w:r>
        <w:rPr>
          <w:b/>
          <w:bCs/>
          <w:sz w:val="23"/>
          <w:szCs w:val="23"/>
        </w:rPr>
        <w:t xml:space="preserve">Buses equipped with a left side entrance door shall have a mirror mounted in the upper right corner of the interior of the bus so as to provide a clear view of the left side entrance door and </w:t>
      </w:r>
      <w:proofErr w:type="spellStart"/>
      <w:r>
        <w:rPr>
          <w:b/>
          <w:bCs/>
          <w:sz w:val="23"/>
          <w:szCs w:val="23"/>
        </w:rPr>
        <w:t>stepwell</w:t>
      </w:r>
      <w:proofErr w:type="spellEnd"/>
      <w:r>
        <w:rPr>
          <w:b/>
          <w:bCs/>
          <w:sz w:val="23"/>
          <w:szCs w:val="23"/>
        </w:rPr>
        <w:t>.</w:t>
      </w:r>
    </w:p>
    <w:p w:rsidR="00610096" w:rsidRDefault="00610096" w:rsidP="00610096">
      <w:pPr>
        <w:pStyle w:val="NoSpacing"/>
        <w:numPr>
          <w:ilvl w:val="0"/>
          <w:numId w:val="1"/>
        </w:numPr>
        <w:rPr>
          <w:b/>
          <w:bCs/>
          <w:sz w:val="23"/>
          <w:szCs w:val="23"/>
        </w:rPr>
      </w:pPr>
      <w:r>
        <w:rPr>
          <w:b/>
          <w:bCs/>
          <w:sz w:val="23"/>
          <w:szCs w:val="23"/>
        </w:rPr>
        <w:t xml:space="preserve">Any chassis frame mounted batteries shall be relocated to a battery compartment on Type </w:t>
      </w:r>
      <w:proofErr w:type="gramStart"/>
      <w:r>
        <w:rPr>
          <w:b/>
          <w:bCs/>
          <w:sz w:val="23"/>
          <w:szCs w:val="23"/>
        </w:rPr>
        <w:t>A</w:t>
      </w:r>
      <w:proofErr w:type="gramEnd"/>
      <w:r>
        <w:rPr>
          <w:b/>
          <w:bCs/>
          <w:sz w:val="23"/>
          <w:szCs w:val="23"/>
        </w:rPr>
        <w:t xml:space="preserve"> buses.</w:t>
      </w:r>
    </w:p>
    <w:p w:rsidR="00610096" w:rsidRDefault="00610096" w:rsidP="00610096">
      <w:pPr>
        <w:pStyle w:val="NoSpacing"/>
        <w:numPr>
          <w:ilvl w:val="0"/>
          <w:numId w:val="1"/>
        </w:numPr>
        <w:rPr>
          <w:b/>
          <w:bCs/>
          <w:sz w:val="23"/>
          <w:szCs w:val="23"/>
        </w:rPr>
      </w:pPr>
      <w:r>
        <w:rPr>
          <w:b/>
          <w:bCs/>
          <w:sz w:val="23"/>
          <w:szCs w:val="23"/>
        </w:rPr>
        <w:t>Buses equipped with an electrically powered wheelchair lift and/or air conditioning shall be equipped with the highest rated capacity</w:t>
      </w:r>
      <w:r>
        <w:rPr>
          <w:b/>
          <w:bCs/>
          <w:sz w:val="23"/>
          <w:szCs w:val="23"/>
        </w:rPr>
        <w:t xml:space="preserve"> alternator</w:t>
      </w:r>
      <w:r>
        <w:rPr>
          <w:b/>
          <w:bCs/>
          <w:sz w:val="23"/>
          <w:szCs w:val="23"/>
        </w:rPr>
        <w:t xml:space="preserve"> available from the chassis OEM.</w:t>
      </w:r>
    </w:p>
    <w:p w:rsidR="00610096" w:rsidRDefault="00610096" w:rsidP="00610096">
      <w:pPr>
        <w:pStyle w:val="Default"/>
        <w:numPr>
          <w:ilvl w:val="0"/>
          <w:numId w:val="1"/>
        </w:numPr>
        <w:rPr>
          <w:sz w:val="23"/>
          <w:szCs w:val="23"/>
        </w:rPr>
      </w:pPr>
      <w:r>
        <w:rPr>
          <w:sz w:val="23"/>
          <w:szCs w:val="23"/>
        </w:rPr>
        <w:t xml:space="preserve">Buses equipped with an electrically powered wheelchair lift </w:t>
      </w:r>
      <w:r>
        <w:rPr>
          <w:b/>
          <w:bCs/>
          <w:sz w:val="23"/>
          <w:szCs w:val="23"/>
        </w:rPr>
        <w:t xml:space="preserve">and/or </w:t>
      </w:r>
      <w:r>
        <w:rPr>
          <w:sz w:val="23"/>
          <w:szCs w:val="23"/>
        </w:rPr>
        <w:t xml:space="preserve">air conditioning or other accessories </w:t>
      </w:r>
      <w:r>
        <w:rPr>
          <w:b/>
          <w:bCs/>
          <w:sz w:val="23"/>
          <w:szCs w:val="23"/>
        </w:rPr>
        <w:t xml:space="preserve">shall have a minimum alternator output of 240 amps and </w:t>
      </w:r>
      <w:r>
        <w:rPr>
          <w:sz w:val="23"/>
          <w:szCs w:val="23"/>
        </w:rPr>
        <w:t xml:space="preserve">may be equipped with a device that monitors the electrical system voltage and advances the engine idle speed when the voltage drops to, or below, a pre-set level. </w:t>
      </w:r>
    </w:p>
    <w:p w:rsidR="00610096" w:rsidRPr="00610096" w:rsidRDefault="00610096" w:rsidP="00610096">
      <w:pPr>
        <w:pStyle w:val="Default"/>
        <w:numPr>
          <w:ilvl w:val="0"/>
          <w:numId w:val="1"/>
        </w:numPr>
        <w:rPr>
          <w:sz w:val="23"/>
          <w:szCs w:val="23"/>
        </w:rPr>
      </w:pPr>
      <w:r>
        <w:rPr>
          <w:sz w:val="23"/>
          <w:szCs w:val="23"/>
        </w:rPr>
        <w:t xml:space="preserve">All wiring shall conform to current applicable recommended practices of the Society of Automotive Engineers (SAE). </w:t>
      </w:r>
      <w:r>
        <w:rPr>
          <w:b/>
          <w:bCs/>
          <w:sz w:val="23"/>
          <w:szCs w:val="23"/>
        </w:rPr>
        <w:t>SAE J1292 Jan 2008 Edition of the Standard.</w:t>
      </w:r>
      <w:r>
        <w:rPr>
          <w:b/>
          <w:bCs/>
          <w:sz w:val="23"/>
          <w:szCs w:val="23"/>
        </w:rPr>
        <w:t xml:space="preserve"> </w:t>
      </w:r>
      <w:r>
        <w:rPr>
          <w:b/>
          <w:bCs/>
          <w:color w:val="FF0000"/>
          <w:sz w:val="23"/>
          <w:szCs w:val="23"/>
        </w:rPr>
        <w:t>FAIL</w:t>
      </w:r>
    </w:p>
    <w:p w:rsidR="00610096" w:rsidRDefault="00610096" w:rsidP="00610096">
      <w:pPr>
        <w:pStyle w:val="Default"/>
        <w:numPr>
          <w:ilvl w:val="0"/>
          <w:numId w:val="1"/>
        </w:numPr>
      </w:pPr>
    </w:p>
    <w:p w:rsidR="00610096" w:rsidRDefault="00610096" w:rsidP="00610096">
      <w:pPr>
        <w:pStyle w:val="Default"/>
        <w:numPr>
          <w:ilvl w:val="0"/>
          <w:numId w:val="1"/>
        </w:numPr>
        <w:rPr>
          <w:sz w:val="23"/>
          <w:szCs w:val="23"/>
        </w:rPr>
      </w:pPr>
      <w:r>
        <w:rPr>
          <w:sz w:val="23"/>
          <w:szCs w:val="23"/>
        </w:rPr>
        <w:t xml:space="preserve">All wiring shall conform to current SAE standards </w:t>
      </w:r>
      <w:r>
        <w:rPr>
          <w:b/>
          <w:bCs/>
          <w:sz w:val="23"/>
          <w:szCs w:val="23"/>
        </w:rPr>
        <w:t>J1292 Jan 2008 Edition of the Standard</w:t>
      </w:r>
      <w:r>
        <w:rPr>
          <w:b/>
          <w:bCs/>
          <w:sz w:val="23"/>
          <w:szCs w:val="23"/>
        </w:rPr>
        <w:t xml:space="preserve"> </w:t>
      </w:r>
      <w:r>
        <w:rPr>
          <w:b/>
          <w:bCs/>
          <w:color w:val="FF0000"/>
          <w:sz w:val="23"/>
          <w:szCs w:val="23"/>
        </w:rPr>
        <w:t>FAIL</w:t>
      </w:r>
      <w:r>
        <w:rPr>
          <w:b/>
          <w:bCs/>
          <w:sz w:val="23"/>
          <w:szCs w:val="23"/>
        </w:rPr>
        <w:t xml:space="preserve"> </w:t>
      </w:r>
    </w:p>
    <w:p w:rsidR="00610096" w:rsidRDefault="00610096" w:rsidP="00610096">
      <w:pPr>
        <w:pStyle w:val="Default"/>
        <w:numPr>
          <w:ilvl w:val="0"/>
          <w:numId w:val="1"/>
        </w:numPr>
        <w:rPr>
          <w:sz w:val="23"/>
          <w:szCs w:val="23"/>
        </w:rPr>
      </w:pPr>
      <w:r>
        <w:rPr>
          <w:sz w:val="23"/>
          <w:szCs w:val="23"/>
        </w:rPr>
        <w:t xml:space="preserve">The color of the cables shall correspond to SAE J1128 </w:t>
      </w:r>
      <w:r>
        <w:rPr>
          <w:b/>
          <w:bCs/>
          <w:sz w:val="23"/>
          <w:szCs w:val="23"/>
        </w:rPr>
        <w:t xml:space="preserve">Oct 2013 Edition of the Standard, </w:t>
      </w:r>
      <w:r>
        <w:rPr>
          <w:i/>
          <w:iCs/>
          <w:sz w:val="23"/>
          <w:szCs w:val="23"/>
        </w:rPr>
        <w:t>Low-Tension Primary Cable</w:t>
      </w:r>
      <w:r>
        <w:rPr>
          <w:sz w:val="23"/>
          <w:szCs w:val="23"/>
        </w:rPr>
        <w:t xml:space="preserve">. </w:t>
      </w:r>
      <w:r w:rsidRPr="00610096">
        <w:rPr>
          <w:color w:val="FF0000"/>
          <w:sz w:val="23"/>
          <w:szCs w:val="23"/>
        </w:rPr>
        <w:t>FAIL</w:t>
      </w:r>
    </w:p>
    <w:p w:rsidR="00822A57" w:rsidRDefault="00822A57" w:rsidP="00822A57">
      <w:pPr>
        <w:pStyle w:val="Default"/>
        <w:numPr>
          <w:ilvl w:val="0"/>
          <w:numId w:val="1"/>
        </w:numPr>
        <w:rPr>
          <w:sz w:val="23"/>
          <w:szCs w:val="23"/>
        </w:rPr>
      </w:pPr>
      <w:r>
        <w:rPr>
          <w:sz w:val="23"/>
          <w:szCs w:val="23"/>
        </w:rPr>
        <w:t xml:space="preserve">The upper portion of the emergency door shall be equipped with approved safety glazing, the exposed area of which shall be at least 400 square inches. </w:t>
      </w:r>
      <w:r>
        <w:rPr>
          <w:b/>
          <w:bCs/>
          <w:sz w:val="23"/>
          <w:szCs w:val="23"/>
        </w:rPr>
        <w:t xml:space="preserve">If installed </w:t>
      </w:r>
      <w:proofErr w:type="spellStart"/>
      <w:r>
        <w:rPr>
          <w:sz w:val="23"/>
          <w:szCs w:val="23"/>
        </w:rPr>
        <w:t>T</w:t>
      </w:r>
      <w:proofErr w:type="spellEnd"/>
      <w:r>
        <w:rPr>
          <w:sz w:val="23"/>
          <w:szCs w:val="23"/>
        </w:rPr>
        <w:t xml:space="preserve"> </w:t>
      </w:r>
      <w:r>
        <w:rPr>
          <w:b/>
          <w:bCs/>
          <w:sz w:val="23"/>
          <w:szCs w:val="23"/>
        </w:rPr>
        <w:t xml:space="preserve">the </w:t>
      </w:r>
      <w:r>
        <w:rPr>
          <w:sz w:val="23"/>
          <w:szCs w:val="23"/>
        </w:rPr>
        <w:t xml:space="preserve">lower portion of the rear emergency door, </w:t>
      </w:r>
      <w:r>
        <w:rPr>
          <w:b/>
          <w:bCs/>
          <w:sz w:val="23"/>
          <w:szCs w:val="23"/>
        </w:rPr>
        <w:t xml:space="preserve">or if the entire door is glass, </w:t>
      </w:r>
      <w:r>
        <w:rPr>
          <w:sz w:val="23"/>
          <w:szCs w:val="23"/>
        </w:rPr>
        <w:t xml:space="preserve">on Types A-2, B, C and D vehicles </w:t>
      </w:r>
      <w:r>
        <w:rPr>
          <w:b/>
          <w:bCs/>
          <w:sz w:val="23"/>
          <w:szCs w:val="23"/>
        </w:rPr>
        <w:t xml:space="preserve">the glass </w:t>
      </w:r>
      <w:r>
        <w:rPr>
          <w:sz w:val="23"/>
          <w:szCs w:val="23"/>
        </w:rPr>
        <w:t xml:space="preserve">shall be equipped with a minimum of 350 square inches of approved safety glazing. </w:t>
      </w:r>
    </w:p>
    <w:p w:rsidR="00841499" w:rsidRDefault="00822A57" w:rsidP="00822A57">
      <w:pPr>
        <w:pStyle w:val="NoSpacing"/>
        <w:ind w:left="900"/>
        <w:rPr>
          <w:sz w:val="23"/>
          <w:szCs w:val="23"/>
        </w:rPr>
      </w:pPr>
      <w:r>
        <w:rPr>
          <w:sz w:val="23"/>
          <w:szCs w:val="23"/>
        </w:rPr>
        <w:t>There shall be no steps leading to an emergency door except on Types C and D all-wheel drive buses.</w:t>
      </w:r>
    </w:p>
    <w:p w:rsidR="00822A57" w:rsidRDefault="00822A57" w:rsidP="00822A57">
      <w:pPr>
        <w:pStyle w:val="NoSpacing"/>
        <w:numPr>
          <w:ilvl w:val="0"/>
          <w:numId w:val="1"/>
        </w:numPr>
        <w:rPr>
          <w:sz w:val="23"/>
          <w:szCs w:val="23"/>
        </w:rPr>
      </w:pPr>
      <w:bookmarkStart w:id="0" w:name="_GoBack"/>
      <w:bookmarkEnd w:id="0"/>
      <w:r>
        <w:rPr>
          <w:sz w:val="23"/>
          <w:szCs w:val="23"/>
        </w:rPr>
        <w:t xml:space="preserve">The tailpipe shall exit to the left or right of the emergency exit door in the rear of the vehicle or to the left side of the bus in front of or behind the rear drive axle. </w:t>
      </w:r>
      <w:r>
        <w:rPr>
          <w:b/>
          <w:bCs/>
          <w:sz w:val="23"/>
          <w:szCs w:val="23"/>
        </w:rPr>
        <w:t xml:space="preserve">The tailpipe </w:t>
      </w:r>
      <w:r>
        <w:rPr>
          <w:b/>
          <w:bCs/>
          <w:sz w:val="23"/>
          <w:szCs w:val="23"/>
        </w:rPr>
        <w:lastRenderedPageBreak/>
        <w:t xml:space="preserve">may extend through the bumper. </w:t>
      </w:r>
      <w:r>
        <w:rPr>
          <w:sz w:val="23"/>
          <w:szCs w:val="23"/>
        </w:rPr>
        <w:t>The tailpipe exit location on all Types A-1 or B-1 buses may be in accordance to the manufacturer’s standards. The tailpipe shall not exit beneath any fuel filler location, emergency door or lift door.</w:t>
      </w:r>
    </w:p>
    <w:p w:rsidR="00841499" w:rsidRPr="00841499" w:rsidRDefault="00841499" w:rsidP="00841499">
      <w:pPr>
        <w:pStyle w:val="NoSpacing"/>
        <w:ind w:left="720"/>
        <w:rPr>
          <w:strike/>
          <w:sz w:val="24"/>
          <w:szCs w:val="24"/>
        </w:rPr>
      </w:pPr>
    </w:p>
    <w:p w:rsidR="00841499" w:rsidRPr="00841499" w:rsidRDefault="00841499" w:rsidP="00841499">
      <w:pPr>
        <w:pStyle w:val="NoSpacing"/>
        <w:ind w:left="766"/>
        <w:rPr>
          <w:strike/>
          <w:sz w:val="24"/>
          <w:szCs w:val="24"/>
        </w:rPr>
      </w:pPr>
    </w:p>
    <w:sectPr w:rsidR="00841499" w:rsidRPr="00841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79E"/>
    <w:multiLevelType w:val="hybridMultilevel"/>
    <w:tmpl w:val="186E8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A5487"/>
    <w:multiLevelType w:val="hybridMultilevel"/>
    <w:tmpl w:val="CD9ED076"/>
    <w:lvl w:ilvl="0" w:tplc="400ECB4A">
      <w:start w:val="1"/>
      <w:numFmt w:val="decimal"/>
      <w:lvlText w:val="%1."/>
      <w:lvlJc w:val="left"/>
      <w:pPr>
        <w:ind w:left="900" w:hanging="360"/>
      </w:pPr>
      <w:rPr>
        <w:strike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nsid w:val="0BA939AD"/>
    <w:multiLevelType w:val="hybridMultilevel"/>
    <w:tmpl w:val="C8CCCB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0247F5E"/>
    <w:multiLevelType w:val="hybridMultilevel"/>
    <w:tmpl w:val="86841296"/>
    <w:lvl w:ilvl="0" w:tplc="400ECB4A">
      <w:start w:val="1"/>
      <w:numFmt w:val="decimal"/>
      <w:lvlText w:val="%1."/>
      <w:lvlJc w:val="left"/>
      <w:pPr>
        <w:ind w:left="900" w:hanging="360"/>
      </w:pPr>
      <w:rPr>
        <w:strike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
    <w:nsid w:val="342A5B7E"/>
    <w:multiLevelType w:val="hybridMultilevel"/>
    <w:tmpl w:val="0AA4B780"/>
    <w:lvl w:ilvl="0" w:tplc="400ECB4A">
      <w:start w:val="1"/>
      <w:numFmt w:val="decimal"/>
      <w:lvlText w:val="%1."/>
      <w:lvlJc w:val="left"/>
      <w:pPr>
        <w:ind w:left="900" w:hanging="360"/>
      </w:pPr>
      <w:rPr>
        <w:strike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
    <w:nsid w:val="47A1406B"/>
    <w:multiLevelType w:val="hybridMultilevel"/>
    <w:tmpl w:val="65C0EAA4"/>
    <w:lvl w:ilvl="0" w:tplc="400ECB4A">
      <w:start w:val="1"/>
      <w:numFmt w:val="decimal"/>
      <w:lvlText w:val="%1."/>
      <w:lvlJc w:val="left"/>
      <w:pPr>
        <w:ind w:left="900" w:hanging="360"/>
      </w:pPr>
      <w:rPr>
        <w:strike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6">
    <w:nsid w:val="4F6B7CCB"/>
    <w:multiLevelType w:val="hybridMultilevel"/>
    <w:tmpl w:val="0026139A"/>
    <w:lvl w:ilvl="0" w:tplc="0409000F">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897509"/>
    <w:multiLevelType w:val="hybridMultilevel"/>
    <w:tmpl w:val="31561D7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531A5C2E"/>
    <w:multiLevelType w:val="hybridMultilevel"/>
    <w:tmpl w:val="324E591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540A4118"/>
    <w:multiLevelType w:val="hybridMultilevel"/>
    <w:tmpl w:val="19984D30"/>
    <w:lvl w:ilvl="0" w:tplc="400ECB4A">
      <w:start w:val="1"/>
      <w:numFmt w:val="decimal"/>
      <w:lvlText w:val="%1."/>
      <w:lvlJc w:val="left"/>
      <w:pPr>
        <w:ind w:left="900" w:hanging="360"/>
      </w:pPr>
      <w:rPr>
        <w:strike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0">
    <w:nsid w:val="57C01AE8"/>
    <w:multiLevelType w:val="hybridMultilevel"/>
    <w:tmpl w:val="2C1EE3E8"/>
    <w:lvl w:ilvl="0" w:tplc="400ECB4A">
      <w:start w:val="1"/>
      <w:numFmt w:val="decimal"/>
      <w:lvlText w:val="%1."/>
      <w:lvlJc w:val="left"/>
      <w:pPr>
        <w:ind w:left="900" w:hanging="360"/>
      </w:pPr>
      <w:rPr>
        <w:strike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num w:numId="1">
    <w:abstractNumId w:val="1"/>
  </w:num>
  <w:num w:numId="2">
    <w:abstractNumId w:val="4"/>
  </w:num>
  <w:num w:numId="3">
    <w:abstractNumId w:val="0"/>
  </w:num>
  <w:num w:numId="4">
    <w:abstractNumId w:val="6"/>
  </w:num>
  <w:num w:numId="5">
    <w:abstractNumId w:val="8"/>
  </w:num>
  <w:num w:numId="6">
    <w:abstractNumId w:val="9"/>
  </w:num>
  <w:num w:numId="7">
    <w:abstractNumId w:val="3"/>
  </w:num>
  <w:num w:numId="8">
    <w:abstractNumId w:val="1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99"/>
    <w:rsid w:val="00001042"/>
    <w:rsid w:val="00012FEC"/>
    <w:rsid w:val="00014413"/>
    <w:rsid w:val="00014D85"/>
    <w:rsid w:val="00020045"/>
    <w:rsid w:val="000206D1"/>
    <w:rsid w:val="00022E2B"/>
    <w:rsid w:val="00024784"/>
    <w:rsid w:val="00026E77"/>
    <w:rsid w:val="00035BC2"/>
    <w:rsid w:val="000376A5"/>
    <w:rsid w:val="00041A4A"/>
    <w:rsid w:val="0004557A"/>
    <w:rsid w:val="00051445"/>
    <w:rsid w:val="00051749"/>
    <w:rsid w:val="000526B2"/>
    <w:rsid w:val="00054A5B"/>
    <w:rsid w:val="00056683"/>
    <w:rsid w:val="00057EBE"/>
    <w:rsid w:val="00061503"/>
    <w:rsid w:val="000622A6"/>
    <w:rsid w:val="0006640C"/>
    <w:rsid w:val="00067802"/>
    <w:rsid w:val="000730F7"/>
    <w:rsid w:val="00075129"/>
    <w:rsid w:val="00075649"/>
    <w:rsid w:val="000826AC"/>
    <w:rsid w:val="00091809"/>
    <w:rsid w:val="000A0B88"/>
    <w:rsid w:val="000B0545"/>
    <w:rsid w:val="000B3901"/>
    <w:rsid w:val="000B5579"/>
    <w:rsid w:val="000C0073"/>
    <w:rsid w:val="000C1EC9"/>
    <w:rsid w:val="000C56F6"/>
    <w:rsid w:val="000C5FEA"/>
    <w:rsid w:val="000C682C"/>
    <w:rsid w:val="000D5B02"/>
    <w:rsid w:val="000E1EA9"/>
    <w:rsid w:val="000E3FDB"/>
    <w:rsid w:val="0010029D"/>
    <w:rsid w:val="00101C48"/>
    <w:rsid w:val="0010282C"/>
    <w:rsid w:val="001045A4"/>
    <w:rsid w:val="0010492C"/>
    <w:rsid w:val="00114AF9"/>
    <w:rsid w:val="00115074"/>
    <w:rsid w:val="00116CE0"/>
    <w:rsid w:val="00121DC2"/>
    <w:rsid w:val="00121F61"/>
    <w:rsid w:val="00123E69"/>
    <w:rsid w:val="0012519F"/>
    <w:rsid w:val="001258E4"/>
    <w:rsid w:val="00132995"/>
    <w:rsid w:val="00134AF0"/>
    <w:rsid w:val="00135303"/>
    <w:rsid w:val="00140AEC"/>
    <w:rsid w:val="00141B98"/>
    <w:rsid w:val="00143317"/>
    <w:rsid w:val="001572BB"/>
    <w:rsid w:val="001634C2"/>
    <w:rsid w:val="00172A12"/>
    <w:rsid w:val="00172C83"/>
    <w:rsid w:val="001743D4"/>
    <w:rsid w:val="00182383"/>
    <w:rsid w:val="00182AF3"/>
    <w:rsid w:val="00190730"/>
    <w:rsid w:val="0019778C"/>
    <w:rsid w:val="001A29D9"/>
    <w:rsid w:val="001A4FCD"/>
    <w:rsid w:val="001A5B79"/>
    <w:rsid w:val="001A5FF0"/>
    <w:rsid w:val="001A6A34"/>
    <w:rsid w:val="001A6E5D"/>
    <w:rsid w:val="001C0F8A"/>
    <w:rsid w:val="001C6349"/>
    <w:rsid w:val="001D2D72"/>
    <w:rsid w:val="001D32F2"/>
    <w:rsid w:val="001E10CB"/>
    <w:rsid w:val="001E1265"/>
    <w:rsid w:val="001E337E"/>
    <w:rsid w:val="001F2D9D"/>
    <w:rsid w:val="001F3341"/>
    <w:rsid w:val="001F3401"/>
    <w:rsid w:val="001F41D2"/>
    <w:rsid w:val="001F5814"/>
    <w:rsid w:val="001F60E9"/>
    <w:rsid w:val="001F6AEF"/>
    <w:rsid w:val="001F783E"/>
    <w:rsid w:val="002051BD"/>
    <w:rsid w:val="0020686F"/>
    <w:rsid w:val="00211B09"/>
    <w:rsid w:val="00213905"/>
    <w:rsid w:val="00223E90"/>
    <w:rsid w:val="00226938"/>
    <w:rsid w:val="0022729E"/>
    <w:rsid w:val="00227F3F"/>
    <w:rsid w:val="0023544D"/>
    <w:rsid w:val="00235685"/>
    <w:rsid w:val="00237991"/>
    <w:rsid w:val="002428F7"/>
    <w:rsid w:val="00244C1E"/>
    <w:rsid w:val="00244E9A"/>
    <w:rsid w:val="00245913"/>
    <w:rsid w:val="00253D3A"/>
    <w:rsid w:val="00262303"/>
    <w:rsid w:val="00263A69"/>
    <w:rsid w:val="002643D5"/>
    <w:rsid w:val="00264502"/>
    <w:rsid w:val="00275E5C"/>
    <w:rsid w:val="0028246F"/>
    <w:rsid w:val="00286999"/>
    <w:rsid w:val="002927AC"/>
    <w:rsid w:val="00296C50"/>
    <w:rsid w:val="002A42EE"/>
    <w:rsid w:val="002B0AD6"/>
    <w:rsid w:val="002B0F28"/>
    <w:rsid w:val="002B19CB"/>
    <w:rsid w:val="002B7426"/>
    <w:rsid w:val="002D1A17"/>
    <w:rsid w:val="002D22A6"/>
    <w:rsid w:val="002D646B"/>
    <w:rsid w:val="002F34F2"/>
    <w:rsid w:val="003003E7"/>
    <w:rsid w:val="00303E04"/>
    <w:rsid w:val="003044CA"/>
    <w:rsid w:val="00305A1E"/>
    <w:rsid w:val="00306F2B"/>
    <w:rsid w:val="00320974"/>
    <w:rsid w:val="00331459"/>
    <w:rsid w:val="0033622D"/>
    <w:rsid w:val="00341DA2"/>
    <w:rsid w:val="003420AC"/>
    <w:rsid w:val="0034333C"/>
    <w:rsid w:val="00347974"/>
    <w:rsid w:val="00351A40"/>
    <w:rsid w:val="00361787"/>
    <w:rsid w:val="00362AA9"/>
    <w:rsid w:val="00363406"/>
    <w:rsid w:val="0036552D"/>
    <w:rsid w:val="00366F83"/>
    <w:rsid w:val="00375BB9"/>
    <w:rsid w:val="00383A8B"/>
    <w:rsid w:val="003840A1"/>
    <w:rsid w:val="003841E2"/>
    <w:rsid w:val="003850F5"/>
    <w:rsid w:val="003863EE"/>
    <w:rsid w:val="003867CB"/>
    <w:rsid w:val="00387676"/>
    <w:rsid w:val="0039064F"/>
    <w:rsid w:val="00396F07"/>
    <w:rsid w:val="00397BA4"/>
    <w:rsid w:val="003A7395"/>
    <w:rsid w:val="003B0094"/>
    <w:rsid w:val="003B1371"/>
    <w:rsid w:val="003B13A6"/>
    <w:rsid w:val="003C36A0"/>
    <w:rsid w:val="003C3BC0"/>
    <w:rsid w:val="003D2718"/>
    <w:rsid w:val="003D7DC7"/>
    <w:rsid w:val="003E6394"/>
    <w:rsid w:val="003F0CBC"/>
    <w:rsid w:val="003F2265"/>
    <w:rsid w:val="003F5296"/>
    <w:rsid w:val="003F7EDF"/>
    <w:rsid w:val="004031CE"/>
    <w:rsid w:val="00410030"/>
    <w:rsid w:val="004111A1"/>
    <w:rsid w:val="00413C2D"/>
    <w:rsid w:val="004150AF"/>
    <w:rsid w:val="0041566C"/>
    <w:rsid w:val="00424AB5"/>
    <w:rsid w:val="00424EBB"/>
    <w:rsid w:val="0043094A"/>
    <w:rsid w:val="00441CFC"/>
    <w:rsid w:val="00455667"/>
    <w:rsid w:val="0045680B"/>
    <w:rsid w:val="00456ADC"/>
    <w:rsid w:val="004642C9"/>
    <w:rsid w:val="00466E31"/>
    <w:rsid w:val="00470270"/>
    <w:rsid w:val="004733CB"/>
    <w:rsid w:val="00481D3F"/>
    <w:rsid w:val="00484293"/>
    <w:rsid w:val="004843F5"/>
    <w:rsid w:val="004926DE"/>
    <w:rsid w:val="00495E08"/>
    <w:rsid w:val="004A1522"/>
    <w:rsid w:val="004A348C"/>
    <w:rsid w:val="004A4267"/>
    <w:rsid w:val="004B08B2"/>
    <w:rsid w:val="004B34E1"/>
    <w:rsid w:val="004C58E1"/>
    <w:rsid w:val="004C74C6"/>
    <w:rsid w:val="004D3835"/>
    <w:rsid w:val="004D709A"/>
    <w:rsid w:val="004D76F5"/>
    <w:rsid w:val="004E51DC"/>
    <w:rsid w:val="004F0A77"/>
    <w:rsid w:val="0050064A"/>
    <w:rsid w:val="00507940"/>
    <w:rsid w:val="005125E9"/>
    <w:rsid w:val="00514761"/>
    <w:rsid w:val="00516C55"/>
    <w:rsid w:val="005206A3"/>
    <w:rsid w:val="00522B07"/>
    <w:rsid w:val="00526258"/>
    <w:rsid w:val="005316E6"/>
    <w:rsid w:val="0053510C"/>
    <w:rsid w:val="00543992"/>
    <w:rsid w:val="0055128B"/>
    <w:rsid w:val="0055732C"/>
    <w:rsid w:val="0056382D"/>
    <w:rsid w:val="0057115B"/>
    <w:rsid w:val="005719D3"/>
    <w:rsid w:val="00572429"/>
    <w:rsid w:val="00572E12"/>
    <w:rsid w:val="00573CAC"/>
    <w:rsid w:val="005761B2"/>
    <w:rsid w:val="005807D9"/>
    <w:rsid w:val="0058248C"/>
    <w:rsid w:val="005832AB"/>
    <w:rsid w:val="00584D98"/>
    <w:rsid w:val="0058629F"/>
    <w:rsid w:val="0058789B"/>
    <w:rsid w:val="00590C62"/>
    <w:rsid w:val="0059569B"/>
    <w:rsid w:val="0059604B"/>
    <w:rsid w:val="00597150"/>
    <w:rsid w:val="0059763F"/>
    <w:rsid w:val="005A0B4B"/>
    <w:rsid w:val="005A0EAA"/>
    <w:rsid w:val="005A18A2"/>
    <w:rsid w:val="005A3CAC"/>
    <w:rsid w:val="005A4E70"/>
    <w:rsid w:val="005A7A04"/>
    <w:rsid w:val="005B1488"/>
    <w:rsid w:val="005B3910"/>
    <w:rsid w:val="005C0C57"/>
    <w:rsid w:val="005C321A"/>
    <w:rsid w:val="005C7D70"/>
    <w:rsid w:val="005D0D37"/>
    <w:rsid w:val="005D1395"/>
    <w:rsid w:val="005D171C"/>
    <w:rsid w:val="005D26C2"/>
    <w:rsid w:val="005D27CC"/>
    <w:rsid w:val="005D5D3C"/>
    <w:rsid w:val="005E6706"/>
    <w:rsid w:val="005E6F82"/>
    <w:rsid w:val="005F056E"/>
    <w:rsid w:val="005F26BE"/>
    <w:rsid w:val="005F3159"/>
    <w:rsid w:val="00600482"/>
    <w:rsid w:val="006014CA"/>
    <w:rsid w:val="00603B35"/>
    <w:rsid w:val="0060427B"/>
    <w:rsid w:val="00605D83"/>
    <w:rsid w:val="00610096"/>
    <w:rsid w:val="006155D9"/>
    <w:rsid w:val="00620851"/>
    <w:rsid w:val="00621F67"/>
    <w:rsid w:val="0062223F"/>
    <w:rsid w:val="00630269"/>
    <w:rsid w:val="006329F9"/>
    <w:rsid w:val="006444B4"/>
    <w:rsid w:val="00645964"/>
    <w:rsid w:val="00650CBB"/>
    <w:rsid w:val="006519F7"/>
    <w:rsid w:val="00652BCF"/>
    <w:rsid w:val="00654948"/>
    <w:rsid w:val="006603D0"/>
    <w:rsid w:val="0066093F"/>
    <w:rsid w:val="00662921"/>
    <w:rsid w:val="006647BF"/>
    <w:rsid w:val="0067255F"/>
    <w:rsid w:val="0067294F"/>
    <w:rsid w:val="006740AA"/>
    <w:rsid w:val="00675F9E"/>
    <w:rsid w:val="00681383"/>
    <w:rsid w:val="006937BA"/>
    <w:rsid w:val="006A166F"/>
    <w:rsid w:val="006A52CD"/>
    <w:rsid w:val="006A6E70"/>
    <w:rsid w:val="006B5CD5"/>
    <w:rsid w:val="006C0FB1"/>
    <w:rsid w:val="006D0792"/>
    <w:rsid w:val="006D430C"/>
    <w:rsid w:val="006D76D3"/>
    <w:rsid w:val="006E4511"/>
    <w:rsid w:val="006F1A0E"/>
    <w:rsid w:val="006F5542"/>
    <w:rsid w:val="006F7228"/>
    <w:rsid w:val="006F7C05"/>
    <w:rsid w:val="007003A1"/>
    <w:rsid w:val="00700C6E"/>
    <w:rsid w:val="00702315"/>
    <w:rsid w:val="0070281D"/>
    <w:rsid w:val="00705A65"/>
    <w:rsid w:val="00716BBA"/>
    <w:rsid w:val="007207B7"/>
    <w:rsid w:val="007218C7"/>
    <w:rsid w:val="007219C1"/>
    <w:rsid w:val="00725FDF"/>
    <w:rsid w:val="00733874"/>
    <w:rsid w:val="00733F89"/>
    <w:rsid w:val="00737331"/>
    <w:rsid w:val="00741FE0"/>
    <w:rsid w:val="00742A3E"/>
    <w:rsid w:val="0074750C"/>
    <w:rsid w:val="007502BC"/>
    <w:rsid w:val="00750D2B"/>
    <w:rsid w:val="00751E8A"/>
    <w:rsid w:val="00752BA8"/>
    <w:rsid w:val="00752EDD"/>
    <w:rsid w:val="00755288"/>
    <w:rsid w:val="00757702"/>
    <w:rsid w:val="00762D8C"/>
    <w:rsid w:val="00764C0F"/>
    <w:rsid w:val="00771B47"/>
    <w:rsid w:val="00780769"/>
    <w:rsid w:val="00780FD0"/>
    <w:rsid w:val="007813FD"/>
    <w:rsid w:val="00783C24"/>
    <w:rsid w:val="00791466"/>
    <w:rsid w:val="00794DF0"/>
    <w:rsid w:val="007A52E7"/>
    <w:rsid w:val="007B0C9D"/>
    <w:rsid w:val="007B22E5"/>
    <w:rsid w:val="007B444A"/>
    <w:rsid w:val="007B7A01"/>
    <w:rsid w:val="007C05D0"/>
    <w:rsid w:val="007C2E68"/>
    <w:rsid w:val="007D44C6"/>
    <w:rsid w:val="007D5B0C"/>
    <w:rsid w:val="007D6685"/>
    <w:rsid w:val="007E0DD1"/>
    <w:rsid w:val="007E77F4"/>
    <w:rsid w:val="007F0D7F"/>
    <w:rsid w:val="007F125C"/>
    <w:rsid w:val="008006F9"/>
    <w:rsid w:val="00804A63"/>
    <w:rsid w:val="00811364"/>
    <w:rsid w:val="00812D03"/>
    <w:rsid w:val="00813B02"/>
    <w:rsid w:val="008167E3"/>
    <w:rsid w:val="00822A57"/>
    <w:rsid w:val="008233EC"/>
    <w:rsid w:val="00823A84"/>
    <w:rsid w:val="00824277"/>
    <w:rsid w:val="00830DED"/>
    <w:rsid w:val="00830ECF"/>
    <w:rsid w:val="0083108F"/>
    <w:rsid w:val="008377ED"/>
    <w:rsid w:val="00841499"/>
    <w:rsid w:val="00846297"/>
    <w:rsid w:val="00846FD0"/>
    <w:rsid w:val="0085103C"/>
    <w:rsid w:val="00852D50"/>
    <w:rsid w:val="00854C52"/>
    <w:rsid w:val="008623AF"/>
    <w:rsid w:val="00862ACF"/>
    <w:rsid w:val="00863115"/>
    <w:rsid w:val="00865CDD"/>
    <w:rsid w:val="00866DEE"/>
    <w:rsid w:val="00867412"/>
    <w:rsid w:val="00870995"/>
    <w:rsid w:val="008742B9"/>
    <w:rsid w:val="00874FA5"/>
    <w:rsid w:val="00875D02"/>
    <w:rsid w:val="00885DBA"/>
    <w:rsid w:val="00886D86"/>
    <w:rsid w:val="0088779B"/>
    <w:rsid w:val="008912BE"/>
    <w:rsid w:val="00894DFB"/>
    <w:rsid w:val="008A53B1"/>
    <w:rsid w:val="008A5F65"/>
    <w:rsid w:val="008A6608"/>
    <w:rsid w:val="008B3B33"/>
    <w:rsid w:val="008B3F00"/>
    <w:rsid w:val="008B49F2"/>
    <w:rsid w:val="008B4C91"/>
    <w:rsid w:val="008C5B9F"/>
    <w:rsid w:val="008C5C89"/>
    <w:rsid w:val="008C618E"/>
    <w:rsid w:val="008D4B93"/>
    <w:rsid w:val="008D6901"/>
    <w:rsid w:val="008E1FFF"/>
    <w:rsid w:val="008E5B0A"/>
    <w:rsid w:val="008E6769"/>
    <w:rsid w:val="008E7C5C"/>
    <w:rsid w:val="008F042A"/>
    <w:rsid w:val="008F0E32"/>
    <w:rsid w:val="008F433A"/>
    <w:rsid w:val="008F45B3"/>
    <w:rsid w:val="008F7A94"/>
    <w:rsid w:val="00900C58"/>
    <w:rsid w:val="00901355"/>
    <w:rsid w:val="00910031"/>
    <w:rsid w:val="00913057"/>
    <w:rsid w:val="00915A2E"/>
    <w:rsid w:val="00916889"/>
    <w:rsid w:val="00934BCF"/>
    <w:rsid w:val="0094037D"/>
    <w:rsid w:val="00945EB4"/>
    <w:rsid w:val="00951DA1"/>
    <w:rsid w:val="009547E1"/>
    <w:rsid w:val="009549B3"/>
    <w:rsid w:val="00964B58"/>
    <w:rsid w:val="00966E81"/>
    <w:rsid w:val="00972A6A"/>
    <w:rsid w:val="0097321E"/>
    <w:rsid w:val="009806ED"/>
    <w:rsid w:val="0098081F"/>
    <w:rsid w:val="00980C73"/>
    <w:rsid w:val="009841AE"/>
    <w:rsid w:val="009865FF"/>
    <w:rsid w:val="0098794B"/>
    <w:rsid w:val="0099339D"/>
    <w:rsid w:val="009A49EB"/>
    <w:rsid w:val="009B01AD"/>
    <w:rsid w:val="009B1E0C"/>
    <w:rsid w:val="009C0AF5"/>
    <w:rsid w:val="009C1703"/>
    <w:rsid w:val="009C18AA"/>
    <w:rsid w:val="009C4235"/>
    <w:rsid w:val="009C62A9"/>
    <w:rsid w:val="009D0CAB"/>
    <w:rsid w:val="009D2202"/>
    <w:rsid w:val="009D7ED2"/>
    <w:rsid w:val="009E2A95"/>
    <w:rsid w:val="009E4D7F"/>
    <w:rsid w:val="009E5664"/>
    <w:rsid w:val="009E57C4"/>
    <w:rsid w:val="009F6698"/>
    <w:rsid w:val="009F72D2"/>
    <w:rsid w:val="00A03A23"/>
    <w:rsid w:val="00A05294"/>
    <w:rsid w:val="00A06588"/>
    <w:rsid w:val="00A102D5"/>
    <w:rsid w:val="00A10F93"/>
    <w:rsid w:val="00A11E12"/>
    <w:rsid w:val="00A13DE9"/>
    <w:rsid w:val="00A17843"/>
    <w:rsid w:val="00A2215E"/>
    <w:rsid w:val="00A24A71"/>
    <w:rsid w:val="00A32DCC"/>
    <w:rsid w:val="00A33700"/>
    <w:rsid w:val="00A34FD2"/>
    <w:rsid w:val="00A372B4"/>
    <w:rsid w:val="00A423E6"/>
    <w:rsid w:val="00A504A1"/>
    <w:rsid w:val="00A50D97"/>
    <w:rsid w:val="00A51355"/>
    <w:rsid w:val="00A549B2"/>
    <w:rsid w:val="00A60EC0"/>
    <w:rsid w:val="00A61FDF"/>
    <w:rsid w:val="00A74455"/>
    <w:rsid w:val="00A76096"/>
    <w:rsid w:val="00A76683"/>
    <w:rsid w:val="00A801DC"/>
    <w:rsid w:val="00A82B38"/>
    <w:rsid w:val="00A84668"/>
    <w:rsid w:val="00A8478D"/>
    <w:rsid w:val="00A85071"/>
    <w:rsid w:val="00A85D24"/>
    <w:rsid w:val="00A87CBE"/>
    <w:rsid w:val="00A93DEF"/>
    <w:rsid w:val="00AA02B1"/>
    <w:rsid w:val="00AA3638"/>
    <w:rsid w:val="00AA4731"/>
    <w:rsid w:val="00AA4FE2"/>
    <w:rsid w:val="00AA5F4F"/>
    <w:rsid w:val="00AA67E2"/>
    <w:rsid w:val="00AA7232"/>
    <w:rsid w:val="00AA7FCA"/>
    <w:rsid w:val="00AB4A7F"/>
    <w:rsid w:val="00AB57D5"/>
    <w:rsid w:val="00AB7341"/>
    <w:rsid w:val="00AC1106"/>
    <w:rsid w:val="00AC4200"/>
    <w:rsid w:val="00AD0381"/>
    <w:rsid w:val="00AD1ADF"/>
    <w:rsid w:val="00AD3FBD"/>
    <w:rsid w:val="00AE3498"/>
    <w:rsid w:val="00AE3A57"/>
    <w:rsid w:val="00AE4911"/>
    <w:rsid w:val="00AF3A54"/>
    <w:rsid w:val="00AF6EFE"/>
    <w:rsid w:val="00B01B8A"/>
    <w:rsid w:val="00B0423D"/>
    <w:rsid w:val="00B17C29"/>
    <w:rsid w:val="00B227F6"/>
    <w:rsid w:val="00B30DBC"/>
    <w:rsid w:val="00B31D69"/>
    <w:rsid w:val="00B33664"/>
    <w:rsid w:val="00B34609"/>
    <w:rsid w:val="00B435B0"/>
    <w:rsid w:val="00B45E56"/>
    <w:rsid w:val="00B46433"/>
    <w:rsid w:val="00B52BE9"/>
    <w:rsid w:val="00B57E03"/>
    <w:rsid w:val="00B603C3"/>
    <w:rsid w:val="00B71DBC"/>
    <w:rsid w:val="00B74AC9"/>
    <w:rsid w:val="00B76465"/>
    <w:rsid w:val="00B84BB5"/>
    <w:rsid w:val="00B85CDD"/>
    <w:rsid w:val="00B9524B"/>
    <w:rsid w:val="00BA0478"/>
    <w:rsid w:val="00BB4A7E"/>
    <w:rsid w:val="00BB550C"/>
    <w:rsid w:val="00BB719A"/>
    <w:rsid w:val="00BC2AC5"/>
    <w:rsid w:val="00BC581F"/>
    <w:rsid w:val="00BD17BC"/>
    <w:rsid w:val="00BD2356"/>
    <w:rsid w:val="00BD243E"/>
    <w:rsid w:val="00BD6039"/>
    <w:rsid w:val="00BD7194"/>
    <w:rsid w:val="00BE1B7B"/>
    <w:rsid w:val="00BE2D04"/>
    <w:rsid w:val="00BF05F8"/>
    <w:rsid w:val="00BF1FAE"/>
    <w:rsid w:val="00BF23CE"/>
    <w:rsid w:val="00BF5A6C"/>
    <w:rsid w:val="00C02499"/>
    <w:rsid w:val="00C02F2E"/>
    <w:rsid w:val="00C03C28"/>
    <w:rsid w:val="00C043E9"/>
    <w:rsid w:val="00C1389F"/>
    <w:rsid w:val="00C15AC0"/>
    <w:rsid w:val="00C20CFC"/>
    <w:rsid w:val="00C26F44"/>
    <w:rsid w:val="00C26FCF"/>
    <w:rsid w:val="00C307E3"/>
    <w:rsid w:val="00C30A2B"/>
    <w:rsid w:val="00C30A30"/>
    <w:rsid w:val="00C32FAF"/>
    <w:rsid w:val="00C36C3C"/>
    <w:rsid w:val="00C57D58"/>
    <w:rsid w:val="00C605D8"/>
    <w:rsid w:val="00C70A6F"/>
    <w:rsid w:val="00C73F0A"/>
    <w:rsid w:val="00C77E96"/>
    <w:rsid w:val="00C80921"/>
    <w:rsid w:val="00C91718"/>
    <w:rsid w:val="00C91DC8"/>
    <w:rsid w:val="00C91E31"/>
    <w:rsid w:val="00C943C8"/>
    <w:rsid w:val="00C97CCF"/>
    <w:rsid w:val="00CB2055"/>
    <w:rsid w:val="00CB4308"/>
    <w:rsid w:val="00CC11EB"/>
    <w:rsid w:val="00CC46FC"/>
    <w:rsid w:val="00CC7896"/>
    <w:rsid w:val="00CD0A78"/>
    <w:rsid w:val="00CD52C4"/>
    <w:rsid w:val="00CD5BBD"/>
    <w:rsid w:val="00CD6979"/>
    <w:rsid w:val="00CE0A7B"/>
    <w:rsid w:val="00CE1A6A"/>
    <w:rsid w:val="00CE2AE3"/>
    <w:rsid w:val="00CE3DC8"/>
    <w:rsid w:val="00CE64BE"/>
    <w:rsid w:val="00CF09A7"/>
    <w:rsid w:val="00CF29B1"/>
    <w:rsid w:val="00CF4D6D"/>
    <w:rsid w:val="00CF51B2"/>
    <w:rsid w:val="00CF7DD6"/>
    <w:rsid w:val="00D02FCB"/>
    <w:rsid w:val="00D03A52"/>
    <w:rsid w:val="00D05A2F"/>
    <w:rsid w:val="00D116ED"/>
    <w:rsid w:val="00D173FB"/>
    <w:rsid w:val="00D175E7"/>
    <w:rsid w:val="00D210D0"/>
    <w:rsid w:val="00D24951"/>
    <w:rsid w:val="00D26296"/>
    <w:rsid w:val="00D30882"/>
    <w:rsid w:val="00D33E4B"/>
    <w:rsid w:val="00D421DA"/>
    <w:rsid w:val="00D445DD"/>
    <w:rsid w:val="00D44649"/>
    <w:rsid w:val="00D46917"/>
    <w:rsid w:val="00D556C8"/>
    <w:rsid w:val="00D61B3A"/>
    <w:rsid w:val="00D62663"/>
    <w:rsid w:val="00D66C2C"/>
    <w:rsid w:val="00D75138"/>
    <w:rsid w:val="00D849A4"/>
    <w:rsid w:val="00D8518F"/>
    <w:rsid w:val="00D92EB6"/>
    <w:rsid w:val="00D94622"/>
    <w:rsid w:val="00D978C0"/>
    <w:rsid w:val="00DA1102"/>
    <w:rsid w:val="00DA489D"/>
    <w:rsid w:val="00DB184F"/>
    <w:rsid w:val="00DB2DD7"/>
    <w:rsid w:val="00DB308D"/>
    <w:rsid w:val="00DC16BC"/>
    <w:rsid w:val="00DC6D61"/>
    <w:rsid w:val="00DD081D"/>
    <w:rsid w:val="00DD2114"/>
    <w:rsid w:val="00DD2A24"/>
    <w:rsid w:val="00DD4B65"/>
    <w:rsid w:val="00DF0FED"/>
    <w:rsid w:val="00DF1330"/>
    <w:rsid w:val="00E06AC9"/>
    <w:rsid w:val="00E06BB4"/>
    <w:rsid w:val="00E1188E"/>
    <w:rsid w:val="00E11DC3"/>
    <w:rsid w:val="00E14079"/>
    <w:rsid w:val="00E2037A"/>
    <w:rsid w:val="00E24A9E"/>
    <w:rsid w:val="00E359F4"/>
    <w:rsid w:val="00E36B37"/>
    <w:rsid w:val="00E4436E"/>
    <w:rsid w:val="00E4477C"/>
    <w:rsid w:val="00E47467"/>
    <w:rsid w:val="00E50E58"/>
    <w:rsid w:val="00E51C59"/>
    <w:rsid w:val="00E60CE5"/>
    <w:rsid w:val="00E613F6"/>
    <w:rsid w:val="00E621D3"/>
    <w:rsid w:val="00E66ED9"/>
    <w:rsid w:val="00E670A2"/>
    <w:rsid w:val="00E67D24"/>
    <w:rsid w:val="00E747E2"/>
    <w:rsid w:val="00E83A54"/>
    <w:rsid w:val="00E910DC"/>
    <w:rsid w:val="00E9738A"/>
    <w:rsid w:val="00EA61F0"/>
    <w:rsid w:val="00EA65D0"/>
    <w:rsid w:val="00EA73DC"/>
    <w:rsid w:val="00ED23A1"/>
    <w:rsid w:val="00ED4156"/>
    <w:rsid w:val="00EE3F84"/>
    <w:rsid w:val="00EE6138"/>
    <w:rsid w:val="00EF5E1E"/>
    <w:rsid w:val="00F05E7D"/>
    <w:rsid w:val="00F06AEA"/>
    <w:rsid w:val="00F136DF"/>
    <w:rsid w:val="00F211D0"/>
    <w:rsid w:val="00F23C75"/>
    <w:rsid w:val="00F25F0C"/>
    <w:rsid w:val="00F31147"/>
    <w:rsid w:val="00F44D27"/>
    <w:rsid w:val="00F44EC4"/>
    <w:rsid w:val="00F4528E"/>
    <w:rsid w:val="00F453F6"/>
    <w:rsid w:val="00F5113F"/>
    <w:rsid w:val="00F52B06"/>
    <w:rsid w:val="00F52F77"/>
    <w:rsid w:val="00F55B0F"/>
    <w:rsid w:val="00F56A95"/>
    <w:rsid w:val="00F6511C"/>
    <w:rsid w:val="00F655A0"/>
    <w:rsid w:val="00F7134D"/>
    <w:rsid w:val="00F73830"/>
    <w:rsid w:val="00F73E13"/>
    <w:rsid w:val="00F7405E"/>
    <w:rsid w:val="00F7544E"/>
    <w:rsid w:val="00F77389"/>
    <w:rsid w:val="00F913F4"/>
    <w:rsid w:val="00F91F6D"/>
    <w:rsid w:val="00F938B4"/>
    <w:rsid w:val="00F94481"/>
    <w:rsid w:val="00FA2AC8"/>
    <w:rsid w:val="00FA3031"/>
    <w:rsid w:val="00FA7914"/>
    <w:rsid w:val="00FB28F0"/>
    <w:rsid w:val="00FB5ADF"/>
    <w:rsid w:val="00FB7284"/>
    <w:rsid w:val="00FB7C90"/>
    <w:rsid w:val="00FC62B2"/>
    <w:rsid w:val="00FC6BCC"/>
    <w:rsid w:val="00FC77FF"/>
    <w:rsid w:val="00FD6A81"/>
    <w:rsid w:val="00FE2A62"/>
    <w:rsid w:val="00FE3B31"/>
    <w:rsid w:val="00FE5FF6"/>
    <w:rsid w:val="00FF00C6"/>
    <w:rsid w:val="00FF1141"/>
    <w:rsid w:val="00FF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499"/>
    <w:pPr>
      <w:spacing w:after="0" w:line="240" w:lineRule="auto"/>
    </w:pPr>
  </w:style>
  <w:style w:type="paragraph" w:customStyle="1" w:styleId="Default">
    <w:name w:val="Default"/>
    <w:rsid w:val="0084149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499"/>
    <w:pPr>
      <w:spacing w:after="0" w:line="240" w:lineRule="auto"/>
    </w:pPr>
  </w:style>
  <w:style w:type="paragraph" w:customStyle="1" w:styleId="Default">
    <w:name w:val="Default"/>
    <w:rsid w:val="008414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D. Scott</dc:creator>
  <cp:lastModifiedBy>Doug D. Scott</cp:lastModifiedBy>
  <cp:revision>2</cp:revision>
  <dcterms:created xsi:type="dcterms:W3CDTF">2015-06-16T21:44:00Z</dcterms:created>
  <dcterms:modified xsi:type="dcterms:W3CDTF">2015-06-16T21:44:00Z</dcterms:modified>
</cp:coreProperties>
</file>